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F74" w:rsidRPr="007335BD" w:rsidRDefault="00EC0F74" w:rsidP="00EC0F74">
      <w:pPr>
        <w:pStyle w:val="Heading1"/>
        <w:rPr>
          <w:rFonts w:ascii="Times New Roman" w:hAnsi="Times New Roman" w:cs="Times New Roman"/>
          <w:color w:val="000000" w:themeColor="text1"/>
          <w:sz w:val="52"/>
          <w:szCs w:val="52"/>
        </w:rPr>
      </w:pPr>
      <w:r w:rsidRPr="007335BD">
        <w:rPr>
          <w:rFonts w:ascii="Times New Roman" w:hAnsi="Times New Roman" w:cs="Times New Roman"/>
          <w:color w:val="000000" w:themeColor="text1"/>
          <w:sz w:val="52"/>
          <w:szCs w:val="52"/>
        </w:rPr>
        <w:t>SANTA CLARA PUEBLO V. MARTINEZ, 436 U. S. 49 (1978)</w:t>
      </w:r>
    </w:p>
    <w:p w:rsidR="000944D9" w:rsidRPr="00EC0F74" w:rsidRDefault="000944D9" w:rsidP="00E02F9D">
      <w:pPr>
        <w:pStyle w:val="NormalWeb"/>
        <w:rPr>
          <w:b/>
          <w:sz w:val="36"/>
          <w:szCs w:val="36"/>
        </w:rPr>
      </w:pPr>
      <w:r w:rsidRPr="00EC0F74">
        <w:rPr>
          <w:b/>
          <w:sz w:val="36"/>
          <w:szCs w:val="36"/>
          <w:u w:val="single"/>
        </w:rPr>
        <w:t>The Dissent</w:t>
      </w:r>
      <w:r w:rsidRPr="00EC0F74">
        <w:rPr>
          <w:b/>
          <w:sz w:val="36"/>
          <w:szCs w:val="36"/>
        </w:rPr>
        <w:t>:</w:t>
      </w:r>
    </w:p>
    <w:p w:rsidR="00E02F9D" w:rsidRPr="00090535" w:rsidRDefault="000944D9" w:rsidP="00E02F9D">
      <w:pPr>
        <w:pStyle w:val="NormalWeb"/>
        <w:rPr>
          <w:sz w:val="28"/>
          <w:szCs w:val="28"/>
        </w:rPr>
      </w:pPr>
      <w:r w:rsidRPr="00090535">
        <w:rPr>
          <w:sz w:val="28"/>
          <w:szCs w:val="28"/>
        </w:rPr>
        <w:t>MR. JUSTICE WHITE</w:t>
      </w:r>
    </w:p>
    <w:p w:rsidR="00E02F9D" w:rsidRPr="00EC0F74" w:rsidRDefault="00E02F9D" w:rsidP="00E02F9D">
      <w:pPr>
        <w:pStyle w:val="NormalWeb"/>
        <w:rPr>
          <w:sz w:val="28"/>
          <w:szCs w:val="28"/>
        </w:rPr>
      </w:pPr>
      <w:r w:rsidRPr="00EC0F74">
        <w:rPr>
          <w:sz w:val="28"/>
          <w:szCs w:val="28"/>
        </w:rPr>
        <w:t>The declared purpose of the Indian Civil R</w:t>
      </w:r>
      <w:r w:rsidR="004B4EF7">
        <w:rPr>
          <w:sz w:val="28"/>
          <w:szCs w:val="28"/>
        </w:rPr>
        <w:t>ights Act of 1968 (ICRA)</w:t>
      </w:r>
      <w:r w:rsidRPr="00EC0F74">
        <w:rPr>
          <w:sz w:val="28"/>
          <w:szCs w:val="28"/>
        </w:rPr>
        <w:t xml:space="preserve"> is "to insure that the American Indian is afforded the broad constitutional rights secured to other Americans." </w:t>
      </w:r>
    </w:p>
    <w:p w:rsidR="00C37AA0" w:rsidRPr="00EC0F74" w:rsidRDefault="000944D9">
      <w:pPr>
        <w:rPr>
          <w:rStyle w:val="headertext"/>
          <w:rFonts w:ascii="Times New Roman" w:hAnsi="Times New Roman" w:cs="Times New Roman"/>
          <w:sz w:val="28"/>
          <w:szCs w:val="28"/>
        </w:rPr>
      </w:pPr>
      <w:r w:rsidRPr="00EC0F74">
        <w:rPr>
          <w:rStyle w:val="headertext"/>
          <w:rFonts w:ascii="Times New Roman" w:hAnsi="Times New Roman" w:cs="Times New Roman"/>
          <w:sz w:val="28"/>
          <w:szCs w:val="28"/>
        </w:rPr>
        <w:t>T</w:t>
      </w:r>
      <w:r w:rsidR="00E02F9D" w:rsidRPr="00EC0F74">
        <w:rPr>
          <w:rStyle w:val="headertext"/>
          <w:rFonts w:ascii="Times New Roman" w:hAnsi="Times New Roman" w:cs="Times New Roman"/>
          <w:sz w:val="28"/>
          <w:szCs w:val="28"/>
        </w:rPr>
        <w:t xml:space="preserve">he Court today, by denying a federal forum to Indians who allege that their rights under the ICRA have been denied by their tribes, substantially undermines the goal of the ICRA and in particular frustrates Title I's </w:t>
      </w:r>
      <w:r w:rsidR="004B4EF7">
        <w:rPr>
          <w:rStyle w:val="headertext"/>
          <w:rFonts w:ascii="Times New Roman" w:hAnsi="Times New Roman" w:cs="Times New Roman"/>
          <w:sz w:val="28"/>
          <w:szCs w:val="28"/>
        </w:rPr>
        <w:t>purpose of "protecting</w:t>
      </w:r>
      <w:r w:rsidR="00E02F9D" w:rsidRPr="00EC0F74">
        <w:rPr>
          <w:rStyle w:val="headertext"/>
          <w:rFonts w:ascii="Times New Roman" w:hAnsi="Times New Roman" w:cs="Times New Roman"/>
          <w:sz w:val="28"/>
          <w:szCs w:val="28"/>
        </w:rPr>
        <w:t xml:space="preserve"> individual Indians from arbitrary and unjust actions of tribal governments." Because I believe that implicit within Title I's declaration of constitutional rights is the authorization for an individual Indian to bring a civil action in federal court against tribal officials for declaratory and injunctive relief to enforce those provisions, I dissent.</w:t>
      </w:r>
    </w:p>
    <w:p w:rsidR="00E02F9D" w:rsidRPr="00EC0F74" w:rsidRDefault="00E02F9D" w:rsidP="00E02F9D">
      <w:pPr>
        <w:pStyle w:val="NormalWeb"/>
        <w:rPr>
          <w:sz w:val="28"/>
          <w:szCs w:val="28"/>
        </w:rPr>
      </w:pPr>
      <w:r w:rsidRPr="00EC0F74">
        <w:rPr>
          <w:sz w:val="28"/>
          <w:szCs w:val="28"/>
        </w:rPr>
        <w:t>Under 28 U.S.C. § 1343(4), federal district courts have jurisdiction over</w:t>
      </w:r>
      <w:r w:rsidR="000944D9" w:rsidRPr="00EC0F74">
        <w:rPr>
          <w:sz w:val="28"/>
          <w:szCs w:val="28"/>
        </w:rPr>
        <w:t xml:space="preserve"> </w:t>
      </w:r>
      <w:r w:rsidRPr="00EC0F74">
        <w:rPr>
          <w:sz w:val="28"/>
          <w:szCs w:val="28"/>
        </w:rPr>
        <w:t>"any civil action authorized by law to be c</w:t>
      </w:r>
      <w:r w:rsidR="000944D9" w:rsidRPr="00EC0F74">
        <w:rPr>
          <w:sz w:val="28"/>
          <w:szCs w:val="28"/>
        </w:rPr>
        <w:t>ommenced by any person . . . t</w:t>
      </w:r>
      <w:r w:rsidRPr="00EC0F74">
        <w:rPr>
          <w:sz w:val="28"/>
          <w:szCs w:val="28"/>
        </w:rPr>
        <w:t>o recover damages or to secure equitable or other relief under any Act of Congress providing for the protection of civil rights, including the right to vote."</w:t>
      </w:r>
      <w:r w:rsidR="000944D9" w:rsidRPr="00EC0F74">
        <w:rPr>
          <w:sz w:val="28"/>
          <w:szCs w:val="28"/>
        </w:rPr>
        <w:t xml:space="preserve"> </w:t>
      </w:r>
      <w:r w:rsidRPr="00EC0F74">
        <w:rPr>
          <w:sz w:val="28"/>
          <w:szCs w:val="28"/>
        </w:rPr>
        <w:t>Because the ICRA is unquestionably a federal Act "providing for the protection of civil rights," the necessary inquiry is whether the Act authorizes the commencement of a civil action for such relief.</w:t>
      </w:r>
    </w:p>
    <w:p w:rsidR="00E02F9D" w:rsidRPr="00EC0F74" w:rsidRDefault="00E02F9D" w:rsidP="00E02F9D">
      <w:pPr>
        <w:pStyle w:val="NormalWeb"/>
        <w:rPr>
          <w:sz w:val="28"/>
          <w:szCs w:val="28"/>
        </w:rPr>
      </w:pPr>
      <w:r w:rsidRPr="00EC0F74">
        <w:rPr>
          <w:sz w:val="28"/>
          <w:szCs w:val="28"/>
        </w:rPr>
        <w:t xml:space="preserve">The Court noted in </w:t>
      </w:r>
      <w:r w:rsidRPr="00EC0F74">
        <w:rPr>
          <w:rStyle w:val="Emphasis"/>
          <w:sz w:val="28"/>
          <w:szCs w:val="28"/>
        </w:rPr>
        <w:t>Bell v. Hood,</w:t>
      </w:r>
      <w:r w:rsidRPr="00EC0F74">
        <w:rPr>
          <w:sz w:val="28"/>
          <w:szCs w:val="28"/>
        </w:rPr>
        <w:t xml:space="preserve"> (1946) </w:t>
      </w:r>
      <w:r w:rsidR="000944D9" w:rsidRPr="00EC0F74">
        <w:rPr>
          <w:sz w:val="28"/>
          <w:szCs w:val="28"/>
        </w:rPr>
        <w:t xml:space="preserve">that </w:t>
      </w:r>
      <w:r w:rsidRPr="00EC0F74">
        <w:rPr>
          <w:sz w:val="28"/>
          <w:szCs w:val="28"/>
        </w:rPr>
        <w:t>"where federally protected rights have been invaded, it has been the rule from the beginning that courts will be alert to adjust their remedies so as to grant the necessary relief."</w:t>
      </w:r>
      <w:r w:rsidR="000944D9" w:rsidRPr="00EC0F74">
        <w:rPr>
          <w:sz w:val="28"/>
          <w:szCs w:val="28"/>
        </w:rPr>
        <w:t xml:space="preserve"> </w:t>
      </w:r>
      <w:r w:rsidRPr="00EC0F74">
        <w:rPr>
          <w:sz w:val="28"/>
          <w:szCs w:val="28"/>
        </w:rPr>
        <w:t xml:space="preserve">The fact that a statute is merely declarative and does not expressly provide for a cause of action to enforce its terms "does not, of course, prevent a federal court from fashioning an effective equitable remedy," </w:t>
      </w:r>
    </w:p>
    <w:p w:rsidR="00E02F9D" w:rsidRPr="00EC0F74" w:rsidRDefault="00E02F9D" w:rsidP="00E02F9D">
      <w:pPr>
        <w:pStyle w:val="NormalWeb"/>
        <w:rPr>
          <w:sz w:val="28"/>
          <w:szCs w:val="28"/>
        </w:rPr>
      </w:pPr>
      <w:r w:rsidRPr="00EC0F74">
        <w:rPr>
          <w:sz w:val="28"/>
          <w:szCs w:val="28"/>
        </w:rPr>
        <w:t xml:space="preserve">The ICRA itself gives no indication that the constitutional rights it extends to American Indians are to be enforced only by means of federal habeas corpus actions. On the contrary, since several of the specified rights are most frequently invoked in noncustodial situations, the natural assumption is that some remedy other than habeas corpus must be contemplated. This assumption is not dispelled by the fact that the Congress chose to </w:t>
      </w:r>
      <w:r w:rsidRPr="00EC0F74">
        <w:rPr>
          <w:sz w:val="28"/>
          <w:szCs w:val="28"/>
        </w:rPr>
        <w:lastRenderedPageBreak/>
        <w:t>enumerate specifically the rights granted under § 1302, rather than to state broadly, as was originally proposed, that</w:t>
      </w:r>
      <w:r w:rsidR="00A44346" w:rsidRPr="00EC0F74">
        <w:rPr>
          <w:sz w:val="28"/>
          <w:szCs w:val="28"/>
        </w:rPr>
        <w:t xml:space="preserve"> </w:t>
      </w:r>
      <w:r w:rsidRPr="00EC0F74">
        <w:rPr>
          <w:sz w:val="28"/>
          <w:szCs w:val="28"/>
        </w:rPr>
        <w:t>"any Indian tribe in exercising its powers of local self-government shall be subject to the same limitations and restraints as those which are imposed on the Government of the United States by the United States Constitution."</w:t>
      </w:r>
    </w:p>
    <w:p w:rsidR="00E02F9D" w:rsidRPr="00EC0F74" w:rsidRDefault="00E02F9D" w:rsidP="00E02F9D">
      <w:pPr>
        <w:pStyle w:val="NormalWeb"/>
        <w:rPr>
          <w:rStyle w:val="headertext"/>
          <w:sz w:val="28"/>
          <w:szCs w:val="28"/>
        </w:rPr>
      </w:pPr>
      <w:r w:rsidRPr="00EC0F74">
        <w:rPr>
          <w:rStyle w:val="headertext"/>
          <w:sz w:val="28"/>
          <w:szCs w:val="28"/>
        </w:rPr>
        <w:t>Given Congress' concern about the deprivations of Indian rights by tribal authorities, I cannot believe, as does the majority, that it desired the enforcement of these rights to be left up to the very tribal authorities alleged to have violated them. In the case of the Santa Clara Pueblo, for example, both legislative and judicial powers are vested in the same body, the Pueblo Council. To suggest that this tribal body is the "appropriate" forum for the adjudication of alleged violations of the ICRA is to ignore both reality and Congress' desire to provide a means of redress to Indians aggrieved by their tribal leaders.</w:t>
      </w:r>
    </w:p>
    <w:p w:rsidR="000944D9" w:rsidRPr="00EC0F74" w:rsidRDefault="000944D9" w:rsidP="00E02F9D">
      <w:pPr>
        <w:pStyle w:val="NormalWeb"/>
        <w:rPr>
          <w:sz w:val="28"/>
          <w:szCs w:val="28"/>
        </w:rPr>
      </w:pPr>
      <w:r w:rsidRPr="00EC0F74">
        <w:rPr>
          <w:rStyle w:val="headertext"/>
          <w:sz w:val="28"/>
          <w:szCs w:val="28"/>
        </w:rPr>
        <w:t xml:space="preserve">Although the Senate Report's statement of the purpose of the ICRA refers only to the granting of constitutional rights to the Indians, I agree with the majority that the legislative history demonstrates that Congress was also concerned with furthering Indian self-government. I do not agree, however, that this concern on the part of Congress precludes our recognition of a federal cause of action to enforce the terms of the Act. The major intrusion upon the tribe's right to govern itself occurred when Congress enacted the ICRA and mandated that the tribe "in exercising powers of self-government" observe the rights enumerated in § 1302. The extension of constitutional rights to individual citizens is intended to intrude upon the authority of government. And once it has been decided that an individual does possess certain rights </w:t>
      </w:r>
      <w:r w:rsidRPr="00EC0F74">
        <w:rPr>
          <w:rStyle w:val="Emphasis"/>
          <w:sz w:val="28"/>
          <w:szCs w:val="28"/>
        </w:rPr>
        <w:t>vis-a-vis</w:t>
      </w:r>
      <w:r w:rsidRPr="00EC0F74">
        <w:rPr>
          <w:rStyle w:val="headertext"/>
          <w:sz w:val="28"/>
          <w:szCs w:val="28"/>
        </w:rPr>
        <w:t xml:space="preserve"> his government, it necessarily follows that he has some way to enforce those rights. Although creating a federal</w:t>
      </w:r>
      <w:r w:rsidR="00CC7B52">
        <w:rPr>
          <w:rStyle w:val="headertext"/>
          <w:sz w:val="28"/>
          <w:szCs w:val="28"/>
        </w:rPr>
        <w:t xml:space="preserve"> cause of action may "</w:t>
      </w:r>
      <w:r w:rsidR="00042013">
        <w:rPr>
          <w:rStyle w:val="headertext"/>
          <w:sz w:val="28"/>
          <w:szCs w:val="28"/>
        </w:rPr>
        <w:t xml:space="preserve">constitute </w:t>
      </w:r>
      <w:r w:rsidR="00042013" w:rsidRPr="00EC0F74">
        <w:rPr>
          <w:rStyle w:val="headertext"/>
          <w:sz w:val="28"/>
          <w:szCs w:val="28"/>
        </w:rPr>
        <w:t>an</w:t>
      </w:r>
      <w:r w:rsidRPr="00EC0F74">
        <w:rPr>
          <w:rStyle w:val="headertext"/>
          <w:sz w:val="28"/>
          <w:szCs w:val="28"/>
        </w:rPr>
        <w:t xml:space="preserve"> interference with tribal autonomy and self-government beyond that created by the change in substantive law itself," in my mind, it is a further step that must be taken; otherwise, the change in the law may be meaningless.</w:t>
      </w:r>
    </w:p>
    <w:p w:rsidR="00E02F9D" w:rsidRPr="00EC0F74" w:rsidRDefault="00E02F9D">
      <w:pPr>
        <w:rPr>
          <w:rFonts w:ascii="Times New Roman" w:hAnsi="Times New Roman" w:cs="Times New Roman"/>
          <w:sz w:val="28"/>
          <w:szCs w:val="28"/>
        </w:rPr>
      </w:pPr>
    </w:p>
    <w:sectPr w:rsidR="00E02F9D" w:rsidRPr="00EC0F74" w:rsidSect="00EC0F74">
      <w:pgSz w:w="12240" w:h="15840"/>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02F9D"/>
    <w:rsid w:val="00042013"/>
    <w:rsid w:val="000435AD"/>
    <w:rsid w:val="00067301"/>
    <w:rsid w:val="00090535"/>
    <w:rsid w:val="000944D9"/>
    <w:rsid w:val="004B4EF7"/>
    <w:rsid w:val="005721FF"/>
    <w:rsid w:val="008A2F12"/>
    <w:rsid w:val="00A44346"/>
    <w:rsid w:val="00AC67AC"/>
    <w:rsid w:val="00B50B50"/>
    <w:rsid w:val="00BC0C02"/>
    <w:rsid w:val="00CC7B52"/>
    <w:rsid w:val="00DE79A2"/>
    <w:rsid w:val="00E02F9D"/>
    <w:rsid w:val="00E30A2F"/>
    <w:rsid w:val="00EC0F74"/>
    <w:rsid w:val="00F452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301"/>
  </w:style>
  <w:style w:type="paragraph" w:styleId="Heading1">
    <w:name w:val="heading 1"/>
    <w:basedOn w:val="Normal"/>
    <w:next w:val="Normal"/>
    <w:link w:val="Heading1Char"/>
    <w:uiPriority w:val="9"/>
    <w:qFormat/>
    <w:rsid w:val="00EC0F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2F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text">
    <w:name w:val="headertext"/>
    <w:basedOn w:val="DefaultParagraphFont"/>
    <w:rsid w:val="00E02F9D"/>
  </w:style>
  <w:style w:type="character" w:styleId="Hyperlink">
    <w:name w:val="Hyperlink"/>
    <w:basedOn w:val="DefaultParagraphFont"/>
    <w:uiPriority w:val="99"/>
    <w:semiHidden/>
    <w:unhideWhenUsed/>
    <w:rsid w:val="00E02F9D"/>
    <w:rPr>
      <w:color w:val="0000FF"/>
      <w:u w:val="single"/>
    </w:rPr>
  </w:style>
  <w:style w:type="character" w:styleId="Emphasis">
    <w:name w:val="Emphasis"/>
    <w:basedOn w:val="DefaultParagraphFont"/>
    <w:uiPriority w:val="20"/>
    <w:qFormat/>
    <w:rsid w:val="00E02F9D"/>
    <w:rPr>
      <w:i/>
      <w:iCs/>
    </w:rPr>
  </w:style>
  <w:style w:type="character" w:customStyle="1" w:styleId="l-leftover">
    <w:name w:val="l-leftover"/>
    <w:basedOn w:val="DefaultParagraphFont"/>
    <w:rsid w:val="00E02F9D"/>
  </w:style>
  <w:style w:type="character" w:customStyle="1" w:styleId="l-normaldigitafter">
    <w:name w:val="l-normaldigitafter"/>
    <w:basedOn w:val="DefaultParagraphFont"/>
    <w:rsid w:val="00E02F9D"/>
  </w:style>
  <w:style w:type="character" w:customStyle="1" w:styleId="Heading1Char">
    <w:name w:val="Heading 1 Char"/>
    <w:basedOn w:val="DefaultParagraphFont"/>
    <w:link w:val="Heading1"/>
    <w:uiPriority w:val="9"/>
    <w:rsid w:val="00EC0F7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675963809">
      <w:bodyDiv w:val="1"/>
      <w:marLeft w:val="0"/>
      <w:marRight w:val="0"/>
      <w:marTop w:val="0"/>
      <w:marBottom w:val="0"/>
      <w:divBdr>
        <w:top w:val="none" w:sz="0" w:space="0" w:color="auto"/>
        <w:left w:val="none" w:sz="0" w:space="0" w:color="auto"/>
        <w:bottom w:val="none" w:sz="0" w:space="0" w:color="auto"/>
        <w:right w:val="none" w:sz="0" w:space="0" w:color="auto"/>
      </w:divBdr>
    </w:div>
    <w:div w:id="947810708">
      <w:bodyDiv w:val="1"/>
      <w:marLeft w:val="0"/>
      <w:marRight w:val="0"/>
      <w:marTop w:val="0"/>
      <w:marBottom w:val="0"/>
      <w:divBdr>
        <w:top w:val="none" w:sz="0" w:space="0" w:color="auto"/>
        <w:left w:val="none" w:sz="0" w:space="0" w:color="auto"/>
        <w:bottom w:val="none" w:sz="0" w:space="0" w:color="auto"/>
        <w:right w:val="none" w:sz="0" w:space="0" w:color="auto"/>
      </w:divBdr>
    </w:div>
    <w:div w:id="1241332187">
      <w:bodyDiv w:val="1"/>
      <w:marLeft w:val="0"/>
      <w:marRight w:val="0"/>
      <w:marTop w:val="0"/>
      <w:marBottom w:val="0"/>
      <w:divBdr>
        <w:top w:val="none" w:sz="0" w:space="0" w:color="auto"/>
        <w:left w:val="none" w:sz="0" w:space="0" w:color="auto"/>
        <w:bottom w:val="none" w:sz="0" w:space="0" w:color="auto"/>
        <w:right w:val="none" w:sz="0" w:space="0" w:color="auto"/>
      </w:divBdr>
    </w:div>
    <w:div w:id="200038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Robert Leming</cp:lastModifiedBy>
  <cp:revision>2</cp:revision>
  <cp:lastPrinted>2010-09-20T21:16:00Z</cp:lastPrinted>
  <dcterms:created xsi:type="dcterms:W3CDTF">2011-10-20T21:44:00Z</dcterms:created>
  <dcterms:modified xsi:type="dcterms:W3CDTF">2011-10-20T21:44:00Z</dcterms:modified>
</cp:coreProperties>
</file>