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5BD" w:rsidRPr="007335BD" w:rsidRDefault="007335BD" w:rsidP="007335BD">
      <w:pPr>
        <w:pStyle w:val="Heading1"/>
        <w:rPr>
          <w:rFonts w:ascii="Times New Roman" w:hAnsi="Times New Roman" w:cs="Times New Roman"/>
          <w:color w:val="000000" w:themeColor="text1"/>
          <w:sz w:val="52"/>
          <w:szCs w:val="52"/>
        </w:rPr>
      </w:pPr>
      <w:r w:rsidRPr="007335BD">
        <w:rPr>
          <w:rFonts w:ascii="Times New Roman" w:hAnsi="Times New Roman" w:cs="Times New Roman"/>
          <w:color w:val="000000" w:themeColor="text1"/>
          <w:sz w:val="52"/>
          <w:szCs w:val="52"/>
        </w:rPr>
        <w:t>SANTA CLARA PUEBLO V. MARTINEZ, 436 U. S. 49 (1978)</w:t>
      </w:r>
    </w:p>
    <w:p w:rsidR="007335BD" w:rsidRPr="007335BD" w:rsidRDefault="007335BD" w:rsidP="007335BD"/>
    <w:p w:rsidR="00C37AA0" w:rsidRPr="007335BD" w:rsidRDefault="006B2D4B">
      <w:pPr>
        <w:rPr>
          <w:rFonts w:ascii="Times New Roman" w:hAnsi="Times New Roman" w:cs="Times New Roman"/>
          <w:b/>
          <w:sz w:val="36"/>
          <w:szCs w:val="36"/>
        </w:rPr>
      </w:pPr>
      <w:r w:rsidRPr="007335BD">
        <w:rPr>
          <w:rFonts w:ascii="Times New Roman" w:hAnsi="Times New Roman" w:cs="Times New Roman"/>
          <w:b/>
          <w:sz w:val="36"/>
          <w:szCs w:val="36"/>
          <w:u w:val="single"/>
        </w:rPr>
        <w:t>The Decision</w:t>
      </w:r>
      <w:r w:rsidRPr="007335BD">
        <w:rPr>
          <w:rFonts w:ascii="Times New Roman" w:hAnsi="Times New Roman" w:cs="Times New Roman"/>
          <w:b/>
          <w:sz w:val="36"/>
          <w:szCs w:val="36"/>
        </w:rPr>
        <w:t>:</w:t>
      </w:r>
    </w:p>
    <w:p w:rsidR="00EC1EBD" w:rsidRPr="007335BD" w:rsidRDefault="00EC1EBD">
      <w:pPr>
        <w:rPr>
          <w:rFonts w:ascii="Times New Roman" w:hAnsi="Times New Roman" w:cs="Times New Roman"/>
          <w:sz w:val="28"/>
          <w:szCs w:val="28"/>
        </w:rPr>
      </w:pPr>
      <w:r w:rsidRPr="007335BD">
        <w:rPr>
          <w:rFonts w:ascii="Times New Roman" w:hAnsi="Times New Roman" w:cs="Times New Roman"/>
          <w:sz w:val="28"/>
          <w:szCs w:val="28"/>
        </w:rPr>
        <w:t>MARSHALL, J., delivered the opinion of the Court, in which BURGER, C. J., and BRENNAN, STEWART, POWELL, and STEVENS, JJ., joined, and in all but Part III of which REHNQUIST, J., joined. WHITE, J., filed a dissenting opinion, BLACKMUN, J., took no part in the consideration or decision of the case</w:t>
      </w:r>
      <w:r w:rsidRPr="007335BD">
        <w:rPr>
          <w:sz w:val="28"/>
          <w:szCs w:val="28"/>
        </w:rPr>
        <w:t>.</w:t>
      </w:r>
    </w:p>
    <w:p w:rsidR="006B2D4B" w:rsidRPr="007335BD" w:rsidRDefault="006B2D4B">
      <w:pPr>
        <w:rPr>
          <w:rFonts w:ascii="Times New Roman" w:hAnsi="Times New Roman" w:cs="Times New Roman"/>
          <w:sz w:val="28"/>
          <w:szCs w:val="28"/>
        </w:rPr>
      </w:pPr>
      <w:r w:rsidRPr="007335BD">
        <w:rPr>
          <w:rFonts w:ascii="Times New Roman" w:hAnsi="Times New Roman" w:cs="Times New Roman"/>
          <w:sz w:val="28"/>
          <w:szCs w:val="28"/>
        </w:rPr>
        <w:t>The equal protection guarantee of the Indian Civil Rights Act should not be construed in a manner which would require or authorize this Court to determine which traditional values will promote cultural survival and should therefore be preserved . . . . Such a determination should be made by the people of Santa Clara; not only because they can best decide what values are important, but also because they must live with the decision every day . . . .</w:t>
      </w:r>
    </w:p>
    <w:p w:rsidR="006B2D4B" w:rsidRPr="007335BD" w:rsidRDefault="006B2D4B">
      <w:pPr>
        <w:rPr>
          <w:rFonts w:ascii="Times New Roman" w:hAnsi="Times New Roman" w:cs="Times New Roman"/>
          <w:sz w:val="28"/>
          <w:szCs w:val="28"/>
        </w:rPr>
      </w:pPr>
      <w:r w:rsidRPr="007335BD">
        <w:rPr>
          <w:rFonts w:ascii="Times New Roman" w:hAnsi="Times New Roman" w:cs="Times New Roman"/>
          <w:sz w:val="28"/>
          <w:szCs w:val="28"/>
        </w:rPr>
        <w:t>Indian tribes are "distinct, independent political communities, retaining their original natural rights" in matters of local sel</w:t>
      </w:r>
      <w:r w:rsidR="00EC1EBD" w:rsidRPr="007335BD">
        <w:rPr>
          <w:rFonts w:ascii="Times New Roman" w:hAnsi="Times New Roman" w:cs="Times New Roman"/>
          <w:sz w:val="28"/>
          <w:szCs w:val="28"/>
        </w:rPr>
        <w:t>f-government,</w:t>
      </w:r>
      <w:r w:rsidRPr="007335BD">
        <w:rPr>
          <w:rFonts w:ascii="Times New Roman" w:hAnsi="Times New Roman" w:cs="Times New Roman"/>
          <w:sz w:val="28"/>
          <w:szCs w:val="28"/>
        </w:rPr>
        <w:t xml:space="preserve"> Worcester v. Georgia (1832).  Although no longer "possessed of the full attributes of sovereignty," they remain a "separate people, with the power of regulating their internal and social relations. They have power to make their own substantive law in internal matters and to enforce that law in their own forums.</w:t>
      </w:r>
    </w:p>
    <w:p w:rsidR="006B2D4B" w:rsidRPr="007335BD" w:rsidRDefault="006B2D4B">
      <w:pPr>
        <w:rPr>
          <w:sz w:val="28"/>
          <w:szCs w:val="28"/>
        </w:rPr>
      </w:pPr>
      <w:r w:rsidRPr="007335BD">
        <w:rPr>
          <w:rFonts w:ascii="Times New Roman" w:hAnsi="Times New Roman" w:cs="Times New Roman"/>
          <w:sz w:val="28"/>
          <w:szCs w:val="28"/>
        </w:rPr>
        <w:t>As separate sovereigns pre-existing the Constitution, tribes have historically been regarded as unconstrained by those constitutional provisions framed specifically as limitations on federal or state authority</w:t>
      </w:r>
      <w:r w:rsidRPr="007335BD">
        <w:rPr>
          <w:sz w:val="28"/>
          <w:szCs w:val="28"/>
        </w:rPr>
        <w:t>.</w:t>
      </w:r>
    </w:p>
    <w:p w:rsidR="00EC1EBD" w:rsidRPr="007335BD" w:rsidRDefault="00EC1EBD">
      <w:pPr>
        <w:rPr>
          <w:rFonts w:ascii="Times New Roman" w:hAnsi="Times New Roman" w:cs="Times New Roman"/>
          <w:sz w:val="28"/>
          <w:szCs w:val="28"/>
        </w:rPr>
      </w:pPr>
      <w:r w:rsidRPr="007335BD">
        <w:rPr>
          <w:rFonts w:ascii="Times New Roman" w:hAnsi="Times New Roman" w:cs="Times New Roman"/>
          <w:sz w:val="28"/>
          <w:szCs w:val="28"/>
        </w:rPr>
        <w:t>Two distinct and competing purposes are manifest in the provisions of the ICRA: In addition to its objective of strengthening the position of individual tribal members vis-a-vis the tribe, Congress also intended to promote the well-established federal "policy of furthering Indian self-government.</w:t>
      </w:r>
    </w:p>
    <w:p w:rsidR="00EC1EBD" w:rsidRPr="007335BD" w:rsidRDefault="00EC1EBD">
      <w:pPr>
        <w:rPr>
          <w:sz w:val="28"/>
          <w:szCs w:val="28"/>
        </w:rPr>
      </w:pPr>
      <w:r w:rsidRPr="007335BD">
        <w:rPr>
          <w:rFonts w:ascii="Times New Roman" w:hAnsi="Times New Roman" w:cs="Times New Roman"/>
          <w:sz w:val="28"/>
          <w:szCs w:val="28"/>
        </w:rPr>
        <w:lastRenderedPageBreak/>
        <w:t>Section 1302, rather than providing in wholesale fashion for the extension of constitutional requirements to tribal governments, as had been initially proposed, selectively incorporated and in some instances modified the safeguards of the Bill of Rights to fit the unique political, cultural, and economic needs of tribal governments. Thus, for example, the statute does not prohibit the establishment of religion, nor does it require jury trials in civil cases, or appointment of counsel for indigents in criminal cases</w:t>
      </w:r>
      <w:r w:rsidRPr="007335BD">
        <w:rPr>
          <w:sz w:val="28"/>
          <w:szCs w:val="28"/>
        </w:rPr>
        <w:t>.</w:t>
      </w:r>
    </w:p>
    <w:p w:rsidR="00EC1EBD" w:rsidRPr="00EC1EBD" w:rsidRDefault="00EC1EBD" w:rsidP="00EC1EBD">
      <w:pPr>
        <w:spacing w:before="100" w:beforeAutospacing="1" w:after="100" w:afterAutospacing="1" w:line="240" w:lineRule="auto"/>
        <w:rPr>
          <w:rFonts w:ascii="Times New Roman" w:eastAsia="Times New Roman" w:hAnsi="Times New Roman" w:cs="Times New Roman"/>
          <w:sz w:val="28"/>
          <w:szCs w:val="28"/>
        </w:rPr>
      </w:pPr>
      <w:r w:rsidRPr="00EC1EBD">
        <w:rPr>
          <w:rFonts w:ascii="Times New Roman" w:eastAsia="Times New Roman" w:hAnsi="Times New Roman" w:cs="Times New Roman"/>
          <w:sz w:val="28"/>
          <w:szCs w:val="28"/>
        </w:rPr>
        <w:t xml:space="preserve">As we have repeatedly emphasized, Congress' authority over Indian matters is extraordinarily broad, and the role of courts in adjusting relations between and among tribes and their members correspondingly restrained. See Lone Wolf v. Hitchcock, (1903). Congress retains authority expressly to authorize civil actions for injunctive or other relief to redress violations of </w:t>
      </w:r>
      <w:r w:rsidR="00261E36">
        <w:rPr>
          <w:rFonts w:ascii="Times New Roman" w:eastAsia="Times New Roman" w:hAnsi="Times New Roman" w:cs="Times New Roman"/>
          <w:sz w:val="28"/>
          <w:szCs w:val="28"/>
        </w:rPr>
        <w:t xml:space="preserve"> section </w:t>
      </w:r>
      <w:r w:rsidRPr="00EC1EBD">
        <w:rPr>
          <w:rFonts w:ascii="Times New Roman" w:eastAsia="Times New Roman" w:hAnsi="Times New Roman" w:cs="Times New Roman"/>
          <w:sz w:val="28"/>
          <w:szCs w:val="28"/>
        </w:rPr>
        <w:t xml:space="preserve">1302, in the event that the tribes themselves prove deficient in applying and enforcing its substantive provisions. But unless and until Congress makes clear its intention to permit the additional intrusion on tribal sovereignty that adjudication of such actions in a federal forum would represent, we are constrained to find that </w:t>
      </w:r>
      <w:r w:rsidR="00261E36">
        <w:rPr>
          <w:rFonts w:ascii="Times New Roman" w:eastAsia="Times New Roman" w:hAnsi="Times New Roman" w:cs="Times New Roman"/>
          <w:sz w:val="28"/>
          <w:szCs w:val="28"/>
        </w:rPr>
        <w:t>section</w:t>
      </w:r>
      <w:r w:rsidRPr="00EC1EBD">
        <w:rPr>
          <w:rFonts w:ascii="Times New Roman" w:eastAsia="Times New Roman" w:hAnsi="Times New Roman" w:cs="Times New Roman"/>
          <w:sz w:val="28"/>
          <w:szCs w:val="28"/>
        </w:rPr>
        <w:t xml:space="preserve">1302 does not impliedly authorize actions for declaratory or injunctive relief against either the tribe or its officers. </w:t>
      </w:r>
    </w:p>
    <w:p w:rsidR="00EC1EBD" w:rsidRPr="00EC1EBD" w:rsidRDefault="00EC1EBD" w:rsidP="00EC1EBD">
      <w:pPr>
        <w:spacing w:before="100" w:beforeAutospacing="1" w:after="100" w:afterAutospacing="1" w:line="240" w:lineRule="auto"/>
        <w:rPr>
          <w:rFonts w:ascii="Times New Roman" w:eastAsia="Times New Roman" w:hAnsi="Times New Roman" w:cs="Times New Roman"/>
          <w:sz w:val="28"/>
          <w:szCs w:val="28"/>
        </w:rPr>
      </w:pPr>
      <w:r w:rsidRPr="00EC1EBD">
        <w:rPr>
          <w:rFonts w:ascii="Times New Roman" w:eastAsia="Times New Roman" w:hAnsi="Times New Roman" w:cs="Times New Roman"/>
          <w:sz w:val="28"/>
          <w:szCs w:val="28"/>
        </w:rPr>
        <w:t xml:space="preserve">The judgment of the Court of Appeals is, accordingly, </w:t>
      </w:r>
    </w:p>
    <w:p w:rsidR="00EC1EBD" w:rsidRPr="00EC1EBD" w:rsidRDefault="00EC1EBD" w:rsidP="00261E36">
      <w:pPr>
        <w:spacing w:after="0" w:line="240" w:lineRule="auto"/>
        <w:rPr>
          <w:rFonts w:ascii="Times New Roman" w:eastAsia="Times New Roman" w:hAnsi="Times New Roman" w:cs="Times New Roman"/>
          <w:sz w:val="28"/>
          <w:szCs w:val="28"/>
        </w:rPr>
      </w:pPr>
      <w:r w:rsidRPr="00EC1EBD">
        <w:rPr>
          <w:rFonts w:ascii="Times New Roman" w:eastAsia="Times New Roman" w:hAnsi="Times New Roman" w:cs="Times New Roman"/>
          <w:sz w:val="28"/>
          <w:szCs w:val="28"/>
        </w:rPr>
        <w:t>Reversed.</w:t>
      </w:r>
    </w:p>
    <w:p w:rsidR="00EC1EBD" w:rsidRPr="007335BD" w:rsidRDefault="00EC1EBD">
      <w:pPr>
        <w:rPr>
          <w:rFonts w:ascii="Times New Roman" w:hAnsi="Times New Roman" w:cs="Times New Roman"/>
          <w:sz w:val="28"/>
          <w:szCs w:val="28"/>
        </w:rPr>
      </w:pPr>
    </w:p>
    <w:sectPr w:rsidR="00EC1EBD" w:rsidRPr="007335BD" w:rsidSect="007335BD">
      <w:pgSz w:w="12240" w:h="15840"/>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2D4B"/>
    <w:rsid w:val="00067301"/>
    <w:rsid w:val="00261E36"/>
    <w:rsid w:val="003E0EA1"/>
    <w:rsid w:val="004278D0"/>
    <w:rsid w:val="006B2D4B"/>
    <w:rsid w:val="006D16C4"/>
    <w:rsid w:val="007335BD"/>
    <w:rsid w:val="00747E2F"/>
    <w:rsid w:val="008546A5"/>
    <w:rsid w:val="00865A35"/>
    <w:rsid w:val="008A2F12"/>
    <w:rsid w:val="00BC0C02"/>
    <w:rsid w:val="00DC1459"/>
    <w:rsid w:val="00E46166"/>
    <w:rsid w:val="00EC1E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01"/>
  </w:style>
  <w:style w:type="paragraph" w:styleId="Heading1">
    <w:name w:val="heading 1"/>
    <w:basedOn w:val="Normal"/>
    <w:next w:val="Normal"/>
    <w:link w:val="Heading1Char"/>
    <w:uiPriority w:val="9"/>
    <w:qFormat/>
    <w:rsid w:val="007335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2D4B"/>
    <w:rPr>
      <w:color w:val="0000FF"/>
      <w:u w:val="single"/>
    </w:rPr>
  </w:style>
  <w:style w:type="paragraph" w:styleId="NormalWeb">
    <w:name w:val="Normal (Web)"/>
    <w:basedOn w:val="Normal"/>
    <w:uiPriority w:val="99"/>
    <w:semiHidden/>
    <w:unhideWhenUsed/>
    <w:rsid w:val="00EC1E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335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174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Robert Leming</cp:lastModifiedBy>
  <cp:revision>2</cp:revision>
  <cp:lastPrinted>2010-09-20T21:12:00Z</cp:lastPrinted>
  <dcterms:created xsi:type="dcterms:W3CDTF">2011-10-20T21:43:00Z</dcterms:created>
  <dcterms:modified xsi:type="dcterms:W3CDTF">2011-10-20T21:43:00Z</dcterms:modified>
</cp:coreProperties>
</file>